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F2603" w14:textId="77777777" w:rsidR="00AE7415" w:rsidRPr="002C32B3" w:rsidRDefault="00AE7415" w:rsidP="002C32B3">
      <w:pPr>
        <w:jc w:val="center"/>
        <w:rPr>
          <w:b/>
          <w:bCs/>
          <w:sz w:val="24"/>
          <w:u w:val="single"/>
        </w:rPr>
      </w:pPr>
      <w:r w:rsidRPr="002C32B3">
        <w:rPr>
          <w:b/>
          <w:bCs/>
          <w:sz w:val="24"/>
          <w:u w:val="single"/>
        </w:rPr>
        <w:t>Begg-Dickie Scholarship</w:t>
      </w:r>
    </w:p>
    <w:p w14:paraId="6B96D2C1" w14:textId="66F092AD" w:rsidR="04DAD652" w:rsidRDefault="04DAD652" w:rsidP="04DAD652">
      <w:pPr>
        <w:rPr>
          <w:sz w:val="24"/>
        </w:rPr>
      </w:pPr>
    </w:p>
    <w:p w14:paraId="52C241D1" w14:textId="77777777" w:rsidR="00AE7415" w:rsidRDefault="00AE7415" w:rsidP="002C32B3">
      <w:pPr>
        <w:pStyle w:val="NoSpacing"/>
      </w:pPr>
      <w:r w:rsidRPr="00AE7415">
        <w:t>This Scholarship is supported by the </w:t>
      </w:r>
      <w:r w:rsidRPr="00AE7415">
        <w:rPr>
          <w:b/>
          <w:bCs/>
        </w:rPr>
        <w:t>William Catherine Begg and John Dickie</w:t>
      </w:r>
      <w:r w:rsidRPr="00AE7415">
        <w:t> Memorial Scholarships and other legacies the church has received to support further study by those graduating from the Knox Centre for Ministry and Leadership. </w:t>
      </w:r>
    </w:p>
    <w:p w14:paraId="56E587EB" w14:textId="77777777" w:rsidR="002C32B3" w:rsidRPr="00AE7415" w:rsidRDefault="002C32B3" w:rsidP="002C32B3">
      <w:pPr>
        <w:pStyle w:val="NoSpacing"/>
      </w:pPr>
    </w:p>
    <w:p w14:paraId="0163CB04" w14:textId="77777777" w:rsidR="00AE7415" w:rsidRPr="005660AE" w:rsidRDefault="00AE7415" w:rsidP="002C32B3">
      <w:pPr>
        <w:pStyle w:val="NoSpacing"/>
        <w:rPr>
          <w:u w:val="single"/>
        </w:rPr>
      </w:pPr>
      <w:r w:rsidRPr="005660AE">
        <w:rPr>
          <w:u w:val="single"/>
        </w:rPr>
        <w:t>Regulations</w:t>
      </w:r>
    </w:p>
    <w:p w14:paraId="6C7014FE" w14:textId="77777777" w:rsidR="00AE7415" w:rsidRDefault="00AE7415" w:rsidP="002C32B3">
      <w:pPr>
        <w:pStyle w:val="NoSpacing"/>
        <w:numPr>
          <w:ilvl w:val="0"/>
          <w:numId w:val="4"/>
        </w:numPr>
      </w:pPr>
      <w:r w:rsidRPr="00AE7415">
        <w:t>The terms and conditions under which the Knox Centre for Ministry and Leadership Postgraduate Scholarship is awarded shall be decided by the Senatus of the Knox Centre for Ministry and Leadership. </w:t>
      </w:r>
    </w:p>
    <w:p w14:paraId="763A70DA" w14:textId="77777777" w:rsidR="00AE7415" w:rsidRPr="00AE7415" w:rsidRDefault="00AE7415" w:rsidP="002C32B3">
      <w:pPr>
        <w:pStyle w:val="NoSpacing"/>
      </w:pPr>
    </w:p>
    <w:p w14:paraId="22E24B7D" w14:textId="77777777" w:rsidR="00AE7415" w:rsidRDefault="00AE7415" w:rsidP="002C32B3">
      <w:pPr>
        <w:pStyle w:val="NoSpacing"/>
        <w:numPr>
          <w:ilvl w:val="0"/>
          <w:numId w:val="4"/>
        </w:numPr>
      </w:pPr>
      <w:r w:rsidRPr="00AE7415">
        <w:t>The Postgraduate Scholarship is intended to help develop the theological and teaching resources of the Presbyterian Church of Aotearoa New Zealand by providing a graduate of the Knox Centre for Ministry and Leadership with a financial contribution towards the cost of fees, travel and living expenses for an approved course of postgraduate study in New Zealand or overseas. </w:t>
      </w:r>
    </w:p>
    <w:p w14:paraId="6B0DA477" w14:textId="77777777" w:rsidR="00AE7415" w:rsidRPr="00AE7415" w:rsidRDefault="00AE7415" w:rsidP="002C32B3">
      <w:pPr>
        <w:pStyle w:val="NoSpacing"/>
      </w:pPr>
    </w:p>
    <w:p w14:paraId="32390106" w14:textId="5DF53E38" w:rsidR="00AE7415" w:rsidRPr="00AE7415" w:rsidRDefault="00AE7415" w:rsidP="002C32B3">
      <w:pPr>
        <w:pStyle w:val="NoSpacing"/>
        <w:numPr>
          <w:ilvl w:val="0"/>
          <w:numId w:val="4"/>
        </w:numPr>
      </w:pPr>
      <w:r w:rsidRPr="002C32B3">
        <w:rPr>
          <w:rFonts w:cs="Times New Roman"/>
          <w:color w:val="000000"/>
          <w:kern w:val="0"/>
          <w:lang w:val="en-GB"/>
        </w:rPr>
        <w:t xml:space="preserve">The Scholarship is for a three–year </w:t>
      </w:r>
      <w:r w:rsidRPr="002C32B3">
        <w:rPr>
          <w:rFonts w:cs="Times New Roman"/>
          <w:kern w:val="0"/>
          <w:lang w:val="en-GB"/>
        </w:rPr>
        <w:t xml:space="preserve">term or up to five years of part-time study. </w:t>
      </w:r>
    </w:p>
    <w:p w14:paraId="0B79D135" w14:textId="77777777" w:rsidR="00AE7415" w:rsidRPr="00AE7415" w:rsidRDefault="00AE7415" w:rsidP="002C32B3">
      <w:pPr>
        <w:pStyle w:val="NoSpacing"/>
      </w:pPr>
    </w:p>
    <w:p w14:paraId="5E76B8F9" w14:textId="64D56EE0" w:rsidR="00AE7415" w:rsidRDefault="00AE7415" w:rsidP="002C32B3">
      <w:pPr>
        <w:pStyle w:val="NoSpacing"/>
        <w:numPr>
          <w:ilvl w:val="0"/>
          <w:numId w:val="4"/>
        </w:numPr>
      </w:pPr>
      <w:r w:rsidRPr="00AE7415">
        <w:t>The amount of the Scholarship awarded in a particular year is determined by the Senatus in consultation with the Church Property Trustees as administrators of the funds held in trust. The amount may vary according to the level of qualification being sought. The portion of the Scholarship required to be used for fees and travel is paid out as needed. The portion of the Scholarship left available as a contribution towards living expenses is paid out over the agreed period of study, subject to satisfactory progress</w:t>
      </w:r>
      <w:r>
        <w:t>.</w:t>
      </w:r>
    </w:p>
    <w:p w14:paraId="3406CE51" w14:textId="77777777" w:rsidR="00AE7415" w:rsidRPr="00AE7415" w:rsidRDefault="00AE7415" w:rsidP="002C32B3">
      <w:pPr>
        <w:pStyle w:val="NoSpacing"/>
      </w:pPr>
    </w:p>
    <w:p w14:paraId="0BA31C00" w14:textId="77777777" w:rsidR="00AE7415" w:rsidRDefault="00AE7415" w:rsidP="002C32B3">
      <w:pPr>
        <w:pStyle w:val="NoSpacing"/>
        <w:numPr>
          <w:ilvl w:val="0"/>
          <w:numId w:val="4"/>
        </w:numPr>
      </w:pPr>
      <w:r w:rsidRPr="00AE7415">
        <w:t>Senatus encourages applications that will enhance diversity of PCANZ and its mission. </w:t>
      </w:r>
    </w:p>
    <w:p w14:paraId="7DF14D74" w14:textId="77777777" w:rsidR="00AE7415" w:rsidRPr="00AE7415" w:rsidRDefault="00AE7415" w:rsidP="002C32B3">
      <w:pPr>
        <w:pStyle w:val="NoSpacing"/>
      </w:pPr>
    </w:p>
    <w:p w14:paraId="62E2B4DA" w14:textId="703DEFD7" w:rsidR="00AE7415" w:rsidRDefault="00AE7415" w:rsidP="002C32B3">
      <w:pPr>
        <w:pStyle w:val="NoSpacing"/>
        <w:numPr>
          <w:ilvl w:val="0"/>
          <w:numId w:val="4"/>
        </w:numPr>
      </w:pPr>
      <w:r w:rsidRPr="00AE7415">
        <w:t>A recipient who does not complete a recognised qualification may be liable to refund all or part of the Scholarship received. </w:t>
      </w:r>
    </w:p>
    <w:p w14:paraId="71910110" w14:textId="77777777" w:rsidR="00AE7415" w:rsidRPr="00AE7415" w:rsidRDefault="00AE7415" w:rsidP="002C32B3">
      <w:pPr>
        <w:pStyle w:val="NoSpacing"/>
      </w:pPr>
    </w:p>
    <w:p w14:paraId="448F570B" w14:textId="489DF3C1" w:rsidR="00AE7415" w:rsidRPr="00B63EAB" w:rsidRDefault="00AE7415" w:rsidP="002C32B3">
      <w:pPr>
        <w:pStyle w:val="NoSpacing"/>
        <w:numPr>
          <w:ilvl w:val="0"/>
          <w:numId w:val="4"/>
        </w:numPr>
      </w:pPr>
      <w:r w:rsidRPr="00AE7415">
        <w:t xml:space="preserve">Annual reports and evidence of progress should be sent to the </w:t>
      </w:r>
      <w:r w:rsidRPr="002C32B3">
        <w:t xml:space="preserve">Dean of Studies </w:t>
      </w:r>
      <w:r w:rsidRPr="00B63EAB">
        <w:t>at the end of each academic year. </w:t>
      </w:r>
    </w:p>
    <w:p w14:paraId="0DD971AF" w14:textId="77777777" w:rsidR="00AE7415" w:rsidRPr="00B63EAB" w:rsidRDefault="00AE7415" w:rsidP="002C32B3">
      <w:pPr>
        <w:pStyle w:val="NoSpacing"/>
      </w:pPr>
    </w:p>
    <w:p w14:paraId="4A0B1CA2" w14:textId="69EAF45A" w:rsidR="00AE7415" w:rsidRDefault="00AE7415" w:rsidP="002C32B3">
      <w:pPr>
        <w:pStyle w:val="NoSpacing"/>
        <w:numPr>
          <w:ilvl w:val="0"/>
          <w:numId w:val="4"/>
        </w:numPr>
      </w:pPr>
      <w:r w:rsidRPr="00AE7415">
        <w:t xml:space="preserve">Recipient of the Scholarship who, </w:t>
      </w:r>
      <w:proofErr w:type="gramStart"/>
      <w:r w:rsidRPr="00AE7415">
        <w:t>during the course of</w:t>
      </w:r>
      <w:proofErr w:type="gramEnd"/>
      <w:r w:rsidRPr="00AE7415">
        <w:t xml:space="preserve"> their studies, decide to upgrade their course from, say, </w:t>
      </w:r>
      <w:proofErr w:type="gramStart"/>
      <w:r w:rsidRPr="00AE7415">
        <w:t>Masters</w:t>
      </w:r>
      <w:proofErr w:type="gramEnd"/>
      <w:r w:rsidRPr="00AE7415">
        <w:t xml:space="preserve"> to Doctoral level, may apply for an extension of their award for a further one or two years maximum. The Senatus will determine </w:t>
      </w:r>
      <w:proofErr w:type="gramStart"/>
      <w:r w:rsidRPr="00AE7415">
        <w:t>whether or not</w:t>
      </w:r>
      <w:proofErr w:type="gramEnd"/>
      <w:r w:rsidRPr="00AE7415">
        <w:t xml:space="preserve"> to award an extension. The annual amount available for Scholarship extensions may be less than the amount of the initial award.</w:t>
      </w:r>
    </w:p>
    <w:p w14:paraId="0DBA0A65" w14:textId="77777777" w:rsidR="00AE7415" w:rsidRPr="00AE7415" w:rsidRDefault="00AE7415" w:rsidP="002C32B3">
      <w:pPr>
        <w:pStyle w:val="NoSpacing"/>
      </w:pPr>
    </w:p>
    <w:p w14:paraId="27565250" w14:textId="77777777" w:rsidR="00AE7415" w:rsidRDefault="00AE7415" w:rsidP="002C32B3">
      <w:pPr>
        <w:pStyle w:val="NoSpacing"/>
        <w:numPr>
          <w:ilvl w:val="0"/>
          <w:numId w:val="4"/>
        </w:numPr>
      </w:pPr>
      <w:r w:rsidRPr="00AE7415">
        <w:t>Applicants for the Scholarship must have graduated with a Diploma in Ministry from the Knox Centre for Ministry and Leadership. There is no time limit from graduation in which to make an application.  </w:t>
      </w:r>
    </w:p>
    <w:p w14:paraId="2B201FBB" w14:textId="77777777" w:rsidR="002C32B3" w:rsidRPr="00AE7415" w:rsidRDefault="002C32B3" w:rsidP="002C32B3">
      <w:pPr>
        <w:pStyle w:val="NoSpacing"/>
      </w:pPr>
    </w:p>
    <w:p w14:paraId="35A08A46" w14:textId="77777777" w:rsidR="00AE7415" w:rsidRDefault="00AE7415" w:rsidP="002C32B3">
      <w:pPr>
        <w:pStyle w:val="NoSpacing"/>
        <w:numPr>
          <w:ilvl w:val="0"/>
          <w:numId w:val="4"/>
        </w:numPr>
      </w:pPr>
      <w:r w:rsidRPr="00AE7415">
        <w:t>The Scholarship will be awarded to the applicant who in the judgement of the Senatus will best be able to obtain benefit from postgraduate study and contribute to the life and ministry of the Presbyterian Church of Aotearoa New Zealand.  </w:t>
      </w:r>
    </w:p>
    <w:p w14:paraId="2D478C0B" w14:textId="77777777" w:rsidR="00AE7415" w:rsidRPr="00AE7415" w:rsidRDefault="00AE7415" w:rsidP="002C32B3">
      <w:pPr>
        <w:pStyle w:val="NoSpacing"/>
      </w:pPr>
    </w:p>
    <w:p w14:paraId="6AE576A5" w14:textId="77777777" w:rsidR="00AE7415" w:rsidRDefault="00AE7415" w:rsidP="002C32B3">
      <w:pPr>
        <w:pStyle w:val="NoSpacing"/>
        <w:numPr>
          <w:ilvl w:val="0"/>
          <w:numId w:val="4"/>
        </w:numPr>
      </w:pPr>
      <w:r w:rsidRPr="00AE7415">
        <w:t>The Senatus may decide in any particular year not to award the Scholarship. </w:t>
      </w:r>
    </w:p>
    <w:p w14:paraId="0D78BF57" w14:textId="77777777" w:rsidR="00AE7415" w:rsidRDefault="00AE7415" w:rsidP="002C32B3">
      <w:pPr>
        <w:pStyle w:val="NoSpacing"/>
      </w:pPr>
    </w:p>
    <w:p w14:paraId="6CE0F736" w14:textId="77777777" w:rsidR="00AE7415" w:rsidRPr="00AE7415" w:rsidRDefault="00AE7415" w:rsidP="002C32B3">
      <w:pPr>
        <w:pStyle w:val="NoSpacing"/>
      </w:pPr>
    </w:p>
    <w:p w14:paraId="00058245" w14:textId="77777777" w:rsidR="00AE7415" w:rsidRDefault="00AE7415" w:rsidP="002C32B3">
      <w:pPr>
        <w:pStyle w:val="NoSpacing"/>
        <w:numPr>
          <w:ilvl w:val="0"/>
          <w:numId w:val="4"/>
        </w:numPr>
      </w:pPr>
      <w:r w:rsidRPr="00AE7415">
        <w:lastRenderedPageBreak/>
        <w:t>The Scholarship must be taken up within two years of the award being made, or it will lapse. </w:t>
      </w:r>
    </w:p>
    <w:p w14:paraId="66DA34AF" w14:textId="77777777" w:rsidR="00AE7415" w:rsidRPr="00AE7415" w:rsidRDefault="00AE7415" w:rsidP="002C32B3">
      <w:pPr>
        <w:pStyle w:val="NoSpacing"/>
      </w:pPr>
    </w:p>
    <w:p w14:paraId="43E771A0" w14:textId="6E993F12" w:rsidR="00AE7415" w:rsidRDefault="00AE7415" w:rsidP="002C32B3">
      <w:pPr>
        <w:pStyle w:val="NoSpacing"/>
        <w:numPr>
          <w:ilvl w:val="0"/>
          <w:numId w:val="4"/>
        </w:numPr>
      </w:pPr>
      <w:r w:rsidRPr="00AE7415">
        <w:t>On completion of their studies the recipient of the Scholarship is normally expected to proceed to service within the Presbyterian Church of Aotearoa New Zealand. If they do not proceed to such service, Knox Centre for Ministry and Leadership reserves the right to require the refunding of all or part of the Scholarship received. </w:t>
      </w:r>
    </w:p>
    <w:p w14:paraId="6D75310B" w14:textId="77777777" w:rsidR="00AE7415" w:rsidRPr="00AE7415" w:rsidRDefault="00AE7415" w:rsidP="002C32B3">
      <w:pPr>
        <w:pStyle w:val="NoSpacing"/>
      </w:pPr>
    </w:p>
    <w:p w14:paraId="6FD96AB8" w14:textId="77777777" w:rsidR="00AE7415" w:rsidRDefault="00AE7415" w:rsidP="002C32B3">
      <w:pPr>
        <w:pStyle w:val="NoSpacing"/>
        <w:numPr>
          <w:ilvl w:val="0"/>
          <w:numId w:val="4"/>
        </w:numPr>
      </w:pPr>
      <w:r w:rsidRPr="00AE7415">
        <w:t>The Scholarship may be held concurrently with other grants or scholarships from other sources. </w:t>
      </w:r>
    </w:p>
    <w:p w14:paraId="0284720F" w14:textId="77777777" w:rsidR="00AE7415" w:rsidRPr="00AE7415" w:rsidRDefault="00AE7415" w:rsidP="002C32B3">
      <w:pPr>
        <w:pStyle w:val="NoSpacing"/>
      </w:pPr>
    </w:p>
    <w:p w14:paraId="79A6D49C" w14:textId="5BBB51D1" w:rsidR="00AE7415" w:rsidRDefault="00AE7415" w:rsidP="002C32B3">
      <w:pPr>
        <w:pStyle w:val="NoSpacing"/>
        <w:numPr>
          <w:ilvl w:val="0"/>
          <w:numId w:val="4"/>
        </w:numPr>
        <w:rPr>
          <w:rFonts w:eastAsia="Times New Roman" w:cs="Arial"/>
          <w:color w:val="000000" w:themeColor="text1"/>
          <w:kern w:val="0"/>
          <w:lang w:eastAsia="en-GB"/>
          <w14:ligatures w14:val="none"/>
        </w:rPr>
      </w:pPr>
      <w:r w:rsidRPr="00AE7415">
        <w:rPr>
          <w:rFonts w:eastAsia="Times New Roman" w:cs="Arial"/>
          <w:color w:val="000000" w:themeColor="text1"/>
          <w:kern w:val="0"/>
          <w:lang w:eastAsia="en-GB"/>
          <w14:ligatures w14:val="none"/>
        </w:rPr>
        <w:t>Recipients of the award are required to deposit in the Hewitson Library Knox College two copies of their thesis, research papers and other publications arising from their study while in receipt of the Scholarship.</w:t>
      </w:r>
    </w:p>
    <w:p w14:paraId="49FB776A" w14:textId="77777777" w:rsidR="00AE7415" w:rsidRPr="00AE7415" w:rsidRDefault="00AE7415" w:rsidP="002C32B3">
      <w:pPr>
        <w:pStyle w:val="NoSpacing"/>
        <w:rPr>
          <w:rFonts w:eastAsia="Times New Roman" w:cs="Arial"/>
          <w:color w:val="000000" w:themeColor="text1"/>
          <w:kern w:val="0"/>
          <w:lang w:eastAsia="en-GB"/>
          <w14:ligatures w14:val="none"/>
        </w:rPr>
      </w:pPr>
    </w:p>
    <w:p w14:paraId="57300B04" w14:textId="245B7CDE" w:rsidR="00AE7415" w:rsidRPr="00B63EAB" w:rsidRDefault="00AE7415" w:rsidP="002C32B3">
      <w:pPr>
        <w:pStyle w:val="NoSpacing"/>
        <w:numPr>
          <w:ilvl w:val="0"/>
          <w:numId w:val="4"/>
        </w:numPr>
        <w:rPr>
          <w:rFonts w:eastAsia="Times New Roman" w:cs="Arial"/>
          <w:kern w:val="0"/>
          <w:lang w:eastAsia="en-GB"/>
          <w14:ligatures w14:val="none"/>
        </w:rPr>
      </w:pPr>
      <w:r w:rsidRPr="00AE7415">
        <w:rPr>
          <w:rFonts w:eastAsia="Times New Roman" w:cs="Arial"/>
          <w:color w:val="000000" w:themeColor="text1"/>
          <w:kern w:val="0"/>
          <w:lang w:eastAsia="en-GB"/>
          <w14:ligatures w14:val="none"/>
        </w:rPr>
        <w:t xml:space="preserve">Applications will be received </w:t>
      </w:r>
      <w:r w:rsidRPr="00B63EAB">
        <w:rPr>
          <w:rFonts w:eastAsia="Times New Roman" w:cs="Arial"/>
          <w:kern w:val="0"/>
          <w:lang w:eastAsia="en-GB"/>
          <w14:ligatures w14:val="none"/>
        </w:rPr>
        <w:t xml:space="preserve">by September each </w:t>
      </w:r>
      <w:r w:rsidR="00B32DFC" w:rsidRPr="00B63EAB">
        <w:rPr>
          <w:rFonts w:eastAsia="Times New Roman" w:cs="Arial"/>
          <w:kern w:val="0"/>
          <w:lang w:eastAsia="en-GB"/>
          <w14:ligatures w14:val="none"/>
        </w:rPr>
        <w:t>year and</w:t>
      </w:r>
      <w:r w:rsidRPr="00B63EAB">
        <w:rPr>
          <w:rFonts w:eastAsia="Times New Roman" w:cs="Arial"/>
          <w:kern w:val="0"/>
          <w:lang w:eastAsia="en-GB"/>
          <w14:ligatures w14:val="none"/>
        </w:rPr>
        <w:t xml:space="preserve"> will normally be awarded following the October Senatus meeting.</w:t>
      </w:r>
    </w:p>
    <w:p w14:paraId="0A10342E" w14:textId="77777777" w:rsidR="00AE7415" w:rsidRPr="00AE7415" w:rsidRDefault="00AE7415" w:rsidP="002C32B3">
      <w:pPr>
        <w:pStyle w:val="NoSpacing"/>
        <w:rPr>
          <w:rFonts w:eastAsia="Times New Roman" w:cs="Arial"/>
          <w:color w:val="000000" w:themeColor="text1"/>
          <w:kern w:val="0"/>
          <w:lang w:eastAsia="en-GB"/>
          <w14:ligatures w14:val="none"/>
        </w:rPr>
      </w:pPr>
    </w:p>
    <w:p w14:paraId="6F55092F" w14:textId="77777777" w:rsidR="00AE7415" w:rsidRDefault="00AE7415" w:rsidP="002C32B3">
      <w:pPr>
        <w:pStyle w:val="NoSpacing"/>
        <w:numPr>
          <w:ilvl w:val="0"/>
          <w:numId w:val="4"/>
        </w:numPr>
        <w:rPr>
          <w:rFonts w:eastAsia="Times New Roman" w:cs="Arial"/>
          <w:color w:val="000000" w:themeColor="text1"/>
          <w:kern w:val="0"/>
          <w:lang w:eastAsia="en-GB"/>
          <w14:ligatures w14:val="none"/>
        </w:rPr>
      </w:pPr>
      <w:r w:rsidRPr="00AE7415">
        <w:rPr>
          <w:rFonts w:eastAsia="Times New Roman" w:cs="Arial"/>
          <w:color w:val="000000" w:themeColor="text1"/>
          <w:kern w:val="0"/>
          <w:lang w:eastAsia="en-GB"/>
          <w14:ligatures w14:val="none"/>
        </w:rPr>
        <w:t>Unsuccessful applicants may reapply in subsequent years. Previous recipients cannot re apply.  </w:t>
      </w:r>
    </w:p>
    <w:p w14:paraId="679EA246" w14:textId="77777777" w:rsidR="00AE7415" w:rsidRPr="00AE7415" w:rsidRDefault="00AE7415" w:rsidP="002C32B3">
      <w:pPr>
        <w:pStyle w:val="NoSpacing"/>
        <w:rPr>
          <w:rFonts w:eastAsia="Times New Roman" w:cs="Arial"/>
          <w:color w:val="000000" w:themeColor="text1"/>
          <w:kern w:val="0"/>
          <w:lang w:eastAsia="en-GB"/>
          <w14:ligatures w14:val="none"/>
        </w:rPr>
      </w:pPr>
    </w:p>
    <w:p w14:paraId="2C4E50CD" w14:textId="77777777" w:rsidR="00AE7415" w:rsidRDefault="00AE7415" w:rsidP="002C32B3">
      <w:pPr>
        <w:pStyle w:val="NoSpacing"/>
        <w:numPr>
          <w:ilvl w:val="0"/>
          <w:numId w:val="4"/>
        </w:numPr>
        <w:rPr>
          <w:rFonts w:eastAsia="Times New Roman" w:cs="Arial"/>
          <w:color w:val="000000" w:themeColor="text1"/>
          <w:kern w:val="0"/>
          <w:lang w:eastAsia="en-GB"/>
          <w14:ligatures w14:val="none"/>
        </w:rPr>
      </w:pPr>
      <w:r w:rsidRPr="00AE7415">
        <w:rPr>
          <w:rFonts w:eastAsia="Times New Roman" w:cs="Arial"/>
          <w:color w:val="000000" w:themeColor="text1"/>
          <w:kern w:val="0"/>
          <w:lang w:eastAsia="en-GB"/>
          <w14:ligatures w14:val="none"/>
        </w:rPr>
        <w:t>It is the responsibility of applicants to check their academic eligibility for a particular course of study before applying for the Scholarship. </w:t>
      </w:r>
    </w:p>
    <w:p w14:paraId="4174CC4C" w14:textId="77777777" w:rsidR="00AE7415" w:rsidRPr="00AE7415" w:rsidRDefault="00AE7415" w:rsidP="002C32B3">
      <w:pPr>
        <w:pStyle w:val="NoSpacing"/>
        <w:rPr>
          <w:rFonts w:eastAsia="Times New Roman" w:cs="Arial"/>
          <w:color w:val="000000" w:themeColor="text1"/>
          <w:kern w:val="0"/>
          <w:lang w:eastAsia="en-GB"/>
          <w14:ligatures w14:val="none"/>
        </w:rPr>
      </w:pPr>
    </w:p>
    <w:p w14:paraId="537EA48F" w14:textId="77777777" w:rsidR="00AE7415" w:rsidRPr="00AE7415" w:rsidRDefault="00AE7415" w:rsidP="002C32B3">
      <w:pPr>
        <w:pStyle w:val="NoSpacing"/>
        <w:numPr>
          <w:ilvl w:val="0"/>
          <w:numId w:val="4"/>
        </w:numPr>
        <w:rPr>
          <w:rFonts w:eastAsia="Times New Roman" w:cs="Arial"/>
          <w:color w:val="000000" w:themeColor="text1"/>
          <w:kern w:val="0"/>
          <w:lang w:eastAsia="en-GB"/>
          <w14:ligatures w14:val="none"/>
        </w:rPr>
      </w:pPr>
      <w:r w:rsidRPr="00AE7415">
        <w:rPr>
          <w:rFonts w:eastAsia="Times New Roman" w:cs="Arial"/>
          <w:color w:val="000000" w:themeColor="text1"/>
          <w:kern w:val="0"/>
          <w:lang w:eastAsia="en-GB"/>
          <w14:ligatures w14:val="none"/>
        </w:rPr>
        <w:t>Applicants should include within their letter of application the following information: </w:t>
      </w:r>
    </w:p>
    <w:p w14:paraId="3C7BE4DB" w14:textId="1CB5A845" w:rsidR="00AE7415" w:rsidRPr="00AE7415" w:rsidRDefault="00AE7415" w:rsidP="002C32B3">
      <w:pPr>
        <w:pStyle w:val="NoSpacing"/>
        <w:numPr>
          <w:ilvl w:val="0"/>
          <w:numId w:val="6"/>
        </w:numPr>
        <w:rPr>
          <w:rFonts w:eastAsia="Times New Roman" w:cs="Arial"/>
          <w:color w:val="000000" w:themeColor="text1"/>
          <w:kern w:val="0"/>
          <w:lang w:eastAsia="en-GB"/>
          <w14:ligatures w14:val="none"/>
        </w:rPr>
      </w:pPr>
      <w:r w:rsidRPr="00AE7415">
        <w:rPr>
          <w:rFonts w:eastAsia="Times New Roman" w:cs="Arial"/>
          <w:color w:val="000000" w:themeColor="text1"/>
          <w:kern w:val="0"/>
          <w:lang w:eastAsia="en-GB"/>
          <w14:ligatures w14:val="none"/>
        </w:rPr>
        <w:t>A statement of their study goals and how they see this course of study benefiting themselves and the Church. </w:t>
      </w:r>
    </w:p>
    <w:p w14:paraId="78077667" w14:textId="77777777" w:rsidR="00AE7415" w:rsidRPr="00AE7415" w:rsidRDefault="00AE7415" w:rsidP="002C32B3">
      <w:pPr>
        <w:pStyle w:val="NoSpacing"/>
        <w:numPr>
          <w:ilvl w:val="0"/>
          <w:numId w:val="6"/>
        </w:numPr>
        <w:rPr>
          <w:rFonts w:eastAsia="Times New Roman" w:cs="Arial"/>
          <w:color w:val="000000" w:themeColor="text1"/>
          <w:kern w:val="0"/>
          <w:lang w:eastAsia="en-GB"/>
          <w14:ligatures w14:val="none"/>
        </w:rPr>
      </w:pPr>
      <w:r w:rsidRPr="00AE7415">
        <w:rPr>
          <w:rFonts w:eastAsia="Times New Roman" w:cs="Arial"/>
          <w:color w:val="000000" w:themeColor="text1"/>
          <w:kern w:val="0"/>
          <w:lang w:eastAsia="en-GB"/>
          <w14:ligatures w14:val="none"/>
        </w:rPr>
        <w:t>Information regarding a likely place of study and supervisor. </w:t>
      </w:r>
    </w:p>
    <w:p w14:paraId="51564D3F" w14:textId="77777777" w:rsidR="00AE7415" w:rsidRPr="00AE7415" w:rsidRDefault="00AE7415" w:rsidP="002C32B3">
      <w:pPr>
        <w:pStyle w:val="NoSpacing"/>
        <w:numPr>
          <w:ilvl w:val="0"/>
          <w:numId w:val="6"/>
        </w:numPr>
        <w:rPr>
          <w:rFonts w:eastAsia="Times New Roman" w:cs="Arial"/>
          <w:color w:val="000000" w:themeColor="text1"/>
          <w:kern w:val="0"/>
          <w:lang w:eastAsia="en-GB"/>
          <w14:ligatures w14:val="none"/>
        </w:rPr>
      </w:pPr>
      <w:r w:rsidRPr="00AE7415">
        <w:rPr>
          <w:rFonts w:eastAsia="Times New Roman" w:cs="Arial"/>
          <w:color w:val="000000" w:themeColor="text1"/>
          <w:kern w:val="0"/>
          <w:lang w:eastAsia="en-GB"/>
          <w14:ligatures w14:val="none"/>
        </w:rPr>
        <w:t>An estimate of costs </w:t>
      </w:r>
    </w:p>
    <w:p w14:paraId="76DE3F14" w14:textId="77777777" w:rsidR="00AE7415" w:rsidRPr="00AE7415" w:rsidRDefault="00AE7415" w:rsidP="002C32B3">
      <w:pPr>
        <w:pStyle w:val="NoSpacing"/>
        <w:numPr>
          <w:ilvl w:val="0"/>
          <w:numId w:val="6"/>
        </w:numPr>
        <w:rPr>
          <w:rFonts w:eastAsia="Times New Roman" w:cs="Arial"/>
          <w:color w:val="000000" w:themeColor="text1"/>
          <w:kern w:val="0"/>
          <w:lang w:eastAsia="en-GB"/>
          <w14:ligatures w14:val="none"/>
        </w:rPr>
      </w:pPr>
      <w:r w:rsidRPr="00AE7415">
        <w:rPr>
          <w:rFonts w:eastAsia="Times New Roman" w:cs="Arial"/>
          <w:color w:val="000000" w:themeColor="text1"/>
          <w:kern w:val="0"/>
          <w:lang w:eastAsia="en-GB"/>
          <w14:ligatures w14:val="none"/>
        </w:rPr>
        <w:t>A Curriculum Vitae. </w:t>
      </w:r>
    </w:p>
    <w:p w14:paraId="4726D043" w14:textId="77777777" w:rsidR="00AE7415" w:rsidRPr="00AE7415" w:rsidRDefault="00AE7415" w:rsidP="002C32B3">
      <w:pPr>
        <w:pStyle w:val="NoSpacing"/>
        <w:numPr>
          <w:ilvl w:val="0"/>
          <w:numId w:val="6"/>
        </w:numPr>
        <w:rPr>
          <w:rFonts w:eastAsia="Times New Roman" w:cs="Arial"/>
          <w:color w:val="000000" w:themeColor="text1"/>
          <w:kern w:val="0"/>
          <w:lang w:eastAsia="en-GB"/>
          <w14:ligatures w14:val="none"/>
        </w:rPr>
      </w:pPr>
      <w:r w:rsidRPr="00AE7415">
        <w:rPr>
          <w:rFonts w:eastAsia="Times New Roman" w:cs="Arial"/>
          <w:color w:val="000000" w:themeColor="text1"/>
          <w:kern w:val="0"/>
          <w:lang w:eastAsia="en-GB"/>
          <w14:ligatures w14:val="none"/>
        </w:rPr>
        <w:t>Relevant Academic Transcripts. </w:t>
      </w:r>
    </w:p>
    <w:p w14:paraId="371066B1" w14:textId="77777777" w:rsidR="00AE7415" w:rsidRPr="00AE7415" w:rsidRDefault="00AE7415" w:rsidP="002C32B3">
      <w:pPr>
        <w:pStyle w:val="NoSpacing"/>
        <w:numPr>
          <w:ilvl w:val="0"/>
          <w:numId w:val="6"/>
        </w:numPr>
        <w:rPr>
          <w:rFonts w:eastAsia="Times New Roman" w:cs="Arial"/>
          <w:color w:val="000000" w:themeColor="text1"/>
          <w:kern w:val="0"/>
          <w:lang w:eastAsia="en-GB"/>
          <w14:ligatures w14:val="none"/>
        </w:rPr>
      </w:pPr>
      <w:r w:rsidRPr="00AE7415">
        <w:rPr>
          <w:rFonts w:eastAsia="Times New Roman" w:cs="Arial"/>
          <w:color w:val="000000" w:themeColor="text1"/>
          <w:kern w:val="0"/>
          <w:lang w:eastAsia="en-GB"/>
          <w14:ligatures w14:val="none"/>
        </w:rPr>
        <w:t>The names of two confidential referees who are not present members of the Staff of the Knox Centre for Ministry and Leadership. </w:t>
      </w:r>
    </w:p>
    <w:p w14:paraId="43139DCF" w14:textId="77777777" w:rsidR="003873F1" w:rsidRPr="00AE7415" w:rsidRDefault="003873F1" w:rsidP="002C32B3">
      <w:pPr>
        <w:pStyle w:val="NoSpacing"/>
      </w:pPr>
    </w:p>
    <w:sectPr w:rsidR="003873F1" w:rsidRPr="00AE7415" w:rsidSect="0096427E">
      <w:pgSz w:w="11900" w:h="1682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54B9B"/>
    <w:multiLevelType w:val="hybridMultilevel"/>
    <w:tmpl w:val="DFE853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DF36FC6"/>
    <w:multiLevelType w:val="multilevel"/>
    <w:tmpl w:val="BC1E7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413F2C"/>
    <w:multiLevelType w:val="hybridMultilevel"/>
    <w:tmpl w:val="CDC474A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78396DB1"/>
    <w:multiLevelType w:val="multilevel"/>
    <w:tmpl w:val="D8386D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000A6B"/>
    <w:multiLevelType w:val="hybridMultilevel"/>
    <w:tmpl w:val="45FA121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7D6015E1"/>
    <w:multiLevelType w:val="hybridMultilevel"/>
    <w:tmpl w:val="20EA32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92779219">
    <w:abstractNumId w:val="1"/>
  </w:num>
  <w:num w:numId="2" w16cid:durableId="525482276">
    <w:abstractNumId w:val="3"/>
  </w:num>
  <w:num w:numId="3" w16cid:durableId="568882062">
    <w:abstractNumId w:val="2"/>
  </w:num>
  <w:num w:numId="4" w16cid:durableId="1938322165">
    <w:abstractNumId w:val="4"/>
  </w:num>
  <w:num w:numId="5" w16cid:durableId="2021663635">
    <w:abstractNumId w:val="5"/>
  </w:num>
  <w:num w:numId="6" w16cid:durableId="203187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15"/>
    <w:rsid w:val="00224134"/>
    <w:rsid w:val="002C32B3"/>
    <w:rsid w:val="003873F1"/>
    <w:rsid w:val="004C7A7B"/>
    <w:rsid w:val="005660AE"/>
    <w:rsid w:val="005D2112"/>
    <w:rsid w:val="00606EC8"/>
    <w:rsid w:val="007E61B2"/>
    <w:rsid w:val="00950079"/>
    <w:rsid w:val="0096427E"/>
    <w:rsid w:val="00A616EA"/>
    <w:rsid w:val="00AE7415"/>
    <w:rsid w:val="00B32DFC"/>
    <w:rsid w:val="00B63EAB"/>
    <w:rsid w:val="00F85104"/>
    <w:rsid w:val="04DAD6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B694"/>
  <w15:chartTrackingRefBased/>
  <w15:docId w15:val="{3A610EB0-2C19-7840-B986-D24AD44C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AE74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4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4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4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4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4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4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4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4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415"/>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AE7415"/>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AE741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AE741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AE741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AE741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AE74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4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4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7415"/>
    <w:rPr>
      <w:i/>
      <w:iCs/>
      <w:color w:val="404040" w:themeColor="text1" w:themeTint="BF"/>
      <w:sz w:val="22"/>
    </w:rPr>
  </w:style>
  <w:style w:type="paragraph" w:styleId="ListParagraph">
    <w:name w:val="List Paragraph"/>
    <w:basedOn w:val="Normal"/>
    <w:uiPriority w:val="34"/>
    <w:qFormat/>
    <w:rsid w:val="00AE7415"/>
    <w:pPr>
      <w:ind w:left="720"/>
      <w:contextualSpacing/>
    </w:pPr>
  </w:style>
  <w:style w:type="character" w:styleId="IntenseEmphasis">
    <w:name w:val="Intense Emphasis"/>
    <w:basedOn w:val="DefaultParagraphFont"/>
    <w:uiPriority w:val="21"/>
    <w:qFormat/>
    <w:rsid w:val="00AE7415"/>
    <w:rPr>
      <w:i/>
      <w:iCs/>
      <w:color w:val="0F4761" w:themeColor="accent1" w:themeShade="BF"/>
    </w:rPr>
  </w:style>
  <w:style w:type="paragraph" w:styleId="IntenseQuote">
    <w:name w:val="Intense Quote"/>
    <w:basedOn w:val="Normal"/>
    <w:next w:val="Normal"/>
    <w:link w:val="IntenseQuoteChar"/>
    <w:uiPriority w:val="30"/>
    <w:qFormat/>
    <w:rsid w:val="00AE74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415"/>
    <w:rPr>
      <w:i/>
      <w:iCs/>
      <w:color w:val="0F4761" w:themeColor="accent1" w:themeShade="BF"/>
      <w:sz w:val="22"/>
    </w:rPr>
  </w:style>
  <w:style w:type="character" w:styleId="IntenseReference">
    <w:name w:val="Intense Reference"/>
    <w:basedOn w:val="DefaultParagraphFont"/>
    <w:uiPriority w:val="32"/>
    <w:qFormat/>
    <w:rsid w:val="00AE7415"/>
    <w:rPr>
      <w:b/>
      <w:bCs/>
      <w:smallCaps/>
      <w:color w:val="0F4761" w:themeColor="accent1" w:themeShade="BF"/>
      <w:spacing w:val="5"/>
    </w:rPr>
  </w:style>
  <w:style w:type="paragraph" w:styleId="NoSpacing">
    <w:name w:val="No Spacing"/>
    <w:uiPriority w:val="1"/>
    <w:qFormat/>
    <w:rsid w:val="002C32B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693489">
      <w:bodyDiv w:val="1"/>
      <w:marLeft w:val="0"/>
      <w:marRight w:val="0"/>
      <w:marTop w:val="0"/>
      <w:marBottom w:val="0"/>
      <w:divBdr>
        <w:top w:val="none" w:sz="0" w:space="0" w:color="auto"/>
        <w:left w:val="none" w:sz="0" w:space="0" w:color="auto"/>
        <w:bottom w:val="none" w:sz="0" w:space="0" w:color="auto"/>
        <w:right w:val="none" w:sz="0" w:space="0" w:color="auto"/>
      </w:divBdr>
      <w:divsChild>
        <w:div w:id="70741157">
          <w:marLeft w:val="0"/>
          <w:marRight w:val="0"/>
          <w:marTop w:val="0"/>
          <w:marBottom w:val="0"/>
          <w:divBdr>
            <w:top w:val="none" w:sz="0" w:space="0" w:color="auto"/>
            <w:left w:val="none" w:sz="0" w:space="0" w:color="auto"/>
            <w:bottom w:val="none" w:sz="0" w:space="0" w:color="auto"/>
            <w:right w:val="none" w:sz="0" w:space="0" w:color="auto"/>
          </w:divBdr>
          <w:divsChild>
            <w:div w:id="448546354">
              <w:marLeft w:val="0"/>
              <w:marRight w:val="0"/>
              <w:marTop w:val="150"/>
              <w:marBottom w:val="0"/>
              <w:divBdr>
                <w:top w:val="none" w:sz="0" w:space="0" w:color="auto"/>
                <w:left w:val="none" w:sz="0" w:space="0" w:color="auto"/>
                <w:bottom w:val="none" w:sz="0" w:space="0" w:color="auto"/>
                <w:right w:val="none" w:sz="0" w:space="0" w:color="auto"/>
              </w:divBdr>
            </w:div>
          </w:divsChild>
        </w:div>
        <w:div w:id="1110856881">
          <w:marLeft w:val="0"/>
          <w:marRight w:val="0"/>
          <w:marTop w:val="0"/>
          <w:marBottom w:val="0"/>
          <w:divBdr>
            <w:top w:val="none" w:sz="0" w:space="0" w:color="auto"/>
            <w:left w:val="none" w:sz="0" w:space="0" w:color="auto"/>
            <w:bottom w:val="none" w:sz="0" w:space="0" w:color="auto"/>
            <w:right w:val="none" w:sz="0" w:space="0" w:color="auto"/>
          </w:divBdr>
          <w:divsChild>
            <w:div w:id="2035420042">
              <w:marLeft w:val="0"/>
              <w:marRight w:val="0"/>
              <w:marTop w:val="150"/>
              <w:marBottom w:val="0"/>
              <w:divBdr>
                <w:top w:val="none" w:sz="0" w:space="0" w:color="auto"/>
                <w:left w:val="none" w:sz="0" w:space="0" w:color="auto"/>
                <w:bottom w:val="none" w:sz="0" w:space="0" w:color="auto"/>
                <w:right w:val="none" w:sz="0" w:space="0" w:color="auto"/>
              </w:divBdr>
              <w:divsChild>
                <w:div w:id="1108162143">
                  <w:marLeft w:val="0"/>
                  <w:marRight w:val="0"/>
                  <w:marTop w:val="150"/>
                  <w:marBottom w:val="0"/>
                  <w:divBdr>
                    <w:top w:val="none" w:sz="0" w:space="0" w:color="auto"/>
                    <w:left w:val="none" w:sz="0" w:space="0" w:color="auto"/>
                    <w:bottom w:val="none" w:sz="0" w:space="0" w:color="auto"/>
                    <w:right w:val="none" w:sz="0" w:space="0" w:color="auto"/>
                  </w:divBdr>
                  <w:divsChild>
                    <w:div w:id="2128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0662">
      <w:bodyDiv w:val="1"/>
      <w:marLeft w:val="0"/>
      <w:marRight w:val="0"/>
      <w:marTop w:val="0"/>
      <w:marBottom w:val="0"/>
      <w:divBdr>
        <w:top w:val="none" w:sz="0" w:space="0" w:color="auto"/>
        <w:left w:val="none" w:sz="0" w:space="0" w:color="auto"/>
        <w:bottom w:val="none" w:sz="0" w:space="0" w:color="auto"/>
        <w:right w:val="none" w:sz="0" w:space="0" w:color="auto"/>
      </w:divBdr>
    </w:div>
    <w:div w:id="1816869703">
      <w:bodyDiv w:val="1"/>
      <w:marLeft w:val="0"/>
      <w:marRight w:val="0"/>
      <w:marTop w:val="0"/>
      <w:marBottom w:val="0"/>
      <w:divBdr>
        <w:top w:val="none" w:sz="0" w:space="0" w:color="auto"/>
        <w:left w:val="none" w:sz="0" w:space="0" w:color="auto"/>
        <w:bottom w:val="none" w:sz="0" w:space="0" w:color="auto"/>
        <w:right w:val="none" w:sz="0" w:space="0" w:color="auto"/>
      </w:divBdr>
      <w:divsChild>
        <w:div w:id="725252966">
          <w:marLeft w:val="0"/>
          <w:marRight w:val="0"/>
          <w:marTop w:val="0"/>
          <w:marBottom w:val="0"/>
          <w:divBdr>
            <w:top w:val="none" w:sz="0" w:space="0" w:color="auto"/>
            <w:left w:val="none" w:sz="0" w:space="0" w:color="auto"/>
            <w:bottom w:val="none" w:sz="0" w:space="0" w:color="auto"/>
            <w:right w:val="none" w:sz="0" w:space="0" w:color="auto"/>
          </w:divBdr>
          <w:divsChild>
            <w:div w:id="1965765250">
              <w:marLeft w:val="0"/>
              <w:marRight w:val="0"/>
              <w:marTop w:val="150"/>
              <w:marBottom w:val="0"/>
              <w:divBdr>
                <w:top w:val="none" w:sz="0" w:space="0" w:color="auto"/>
                <w:left w:val="none" w:sz="0" w:space="0" w:color="auto"/>
                <w:bottom w:val="none" w:sz="0" w:space="0" w:color="auto"/>
                <w:right w:val="none" w:sz="0" w:space="0" w:color="auto"/>
              </w:divBdr>
            </w:div>
          </w:divsChild>
        </w:div>
        <w:div w:id="1339429538">
          <w:marLeft w:val="0"/>
          <w:marRight w:val="0"/>
          <w:marTop w:val="0"/>
          <w:marBottom w:val="0"/>
          <w:divBdr>
            <w:top w:val="none" w:sz="0" w:space="0" w:color="auto"/>
            <w:left w:val="none" w:sz="0" w:space="0" w:color="auto"/>
            <w:bottom w:val="none" w:sz="0" w:space="0" w:color="auto"/>
            <w:right w:val="none" w:sz="0" w:space="0" w:color="auto"/>
          </w:divBdr>
          <w:divsChild>
            <w:div w:id="1026710707">
              <w:marLeft w:val="0"/>
              <w:marRight w:val="0"/>
              <w:marTop w:val="150"/>
              <w:marBottom w:val="0"/>
              <w:divBdr>
                <w:top w:val="none" w:sz="0" w:space="0" w:color="auto"/>
                <w:left w:val="none" w:sz="0" w:space="0" w:color="auto"/>
                <w:bottom w:val="none" w:sz="0" w:space="0" w:color="auto"/>
                <w:right w:val="none" w:sz="0" w:space="0" w:color="auto"/>
              </w:divBdr>
              <w:divsChild>
                <w:div w:id="1104694289">
                  <w:marLeft w:val="0"/>
                  <w:marRight w:val="0"/>
                  <w:marTop w:val="150"/>
                  <w:marBottom w:val="0"/>
                  <w:divBdr>
                    <w:top w:val="none" w:sz="0" w:space="0" w:color="auto"/>
                    <w:left w:val="none" w:sz="0" w:space="0" w:color="auto"/>
                    <w:bottom w:val="none" w:sz="0" w:space="0" w:color="auto"/>
                    <w:right w:val="none" w:sz="0" w:space="0" w:color="auto"/>
                  </w:divBdr>
                  <w:divsChild>
                    <w:div w:id="16778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641D85FF400459189870821D7A4CB" ma:contentTypeVersion="4" ma:contentTypeDescription="Create a new document." ma:contentTypeScope="" ma:versionID="17baefa5af81c7061f7530967256f481">
  <xsd:schema xmlns:xsd="http://www.w3.org/2001/XMLSchema" xmlns:xs="http://www.w3.org/2001/XMLSchema" xmlns:p="http://schemas.microsoft.com/office/2006/metadata/properties" xmlns:ns2="10e784cc-776b-4632-ad34-05d0265b7916" targetNamespace="http://schemas.microsoft.com/office/2006/metadata/properties" ma:root="true" ma:fieldsID="e9edc3b64ada6df3afbae1fdcdc5633b" ns2:_="">
    <xsd:import namespace="10e784cc-776b-4632-ad34-05d0265b79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784cc-776b-4632-ad34-05d0265b7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89019-F9A5-4243-A835-408EA1D4D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784cc-776b-4632-ad34-05d0265b7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7846F-CAA9-4152-A7CA-226B2D0294BC}">
  <ds:schemaRefs>
    <ds:schemaRef ds:uri="http://schemas.microsoft.com/sharepoint/v3/contenttype/forms"/>
  </ds:schemaRefs>
</ds:datastoreItem>
</file>

<file path=customXml/itemProps3.xml><?xml version="1.0" encoding="utf-8"?>
<ds:datastoreItem xmlns:ds="http://schemas.openxmlformats.org/officeDocument/2006/customXml" ds:itemID="{EA52709A-35E9-4158-8960-BAE7FF1FA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Martinez</dc:creator>
  <cp:keywords/>
  <dc:description/>
  <cp:lastModifiedBy>Susan Peters</cp:lastModifiedBy>
  <cp:revision>6</cp:revision>
  <dcterms:created xsi:type="dcterms:W3CDTF">2025-06-15T23:32:00Z</dcterms:created>
  <dcterms:modified xsi:type="dcterms:W3CDTF">2025-06-15T23:52:00Z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0x010100171641D85FF400459189870821D7A4CB</vt:lpwstr>
  </property>
</Properties>
</file>